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40" w:rsidRDefault="008D3F40" w:rsidP="008D3F40">
      <w:pPr>
        <w:jc w:val="center"/>
        <w:rPr>
          <w:rFonts w:ascii="微软雅黑" w:eastAsia="微软雅黑" w:hAnsi="微软雅黑"/>
          <w:b/>
          <w:sz w:val="24"/>
        </w:rPr>
      </w:pPr>
      <w:r w:rsidRPr="00AF28EE">
        <w:rPr>
          <w:rFonts w:ascii="微软雅黑" w:eastAsia="微软雅黑" w:hAnsi="微软雅黑" w:hint="eastAsia"/>
          <w:b/>
          <w:sz w:val="24"/>
        </w:rPr>
        <w:t>“2015—2020”百</w:t>
      </w:r>
      <w:r w:rsidRPr="00AF28EE">
        <w:rPr>
          <w:rFonts w:ascii="微软雅黑" w:eastAsia="微软雅黑" w:hAnsi="微软雅黑"/>
          <w:b/>
          <w:sz w:val="24"/>
        </w:rPr>
        <w:t>家企业经营模式创新与战略</w:t>
      </w:r>
      <w:r w:rsidRPr="00AF28EE">
        <w:rPr>
          <w:rFonts w:ascii="微软雅黑" w:eastAsia="微软雅黑" w:hAnsi="微软雅黑" w:hint="eastAsia"/>
          <w:b/>
          <w:sz w:val="24"/>
        </w:rPr>
        <w:t>扶</w:t>
      </w:r>
      <w:r w:rsidRPr="00AF28EE">
        <w:rPr>
          <w:rFonts w:ascii="微软雅黑" w:eastAsia="微软雅黑" w:hAnsi="微软雅黑"/>
          <w:b/>
          <w:sz w:val="24"/>
        </w:rPr>
        <w:t>持</w:t>
      </w:r>
    </w:p>
    <w:p w:rsidR="008D3F40" w:rsidRPr="009828C6" w:rsidRDefault="008D3F40" w:rsidP="008D3F40">
      <w:pPr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报名表</w:t>
      </w: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890"/>
        <w:gridCol w:w="2111"/>
        <w:gridCol w:w="7"/>
        <w:gridCol w:w="974"/>
        <w:gridCol w:w="1193"/>
        <w:gridCol w:w="7"/>
        <w:gridCol w:w="1080"/>
        <w:gridCol w:w="1185"/>
      </w:tblGrid>
      <w:tr w:rsidR="008D3F40" w:rsidRPr="003F0D96" w:rsidTr="00DA2D0F">
        <w:trPr>
          <w:jc w:val="center"/>
        </w:trPr>
        <w:tc>
          <w:tcPr>
            <w:tcW w:w="1978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公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司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名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称</w:t>
            </w:r>
          </w:p>
        </w:tc>
        <w:tc>
          <w:tcPr>
            <w:tcW w:w="3092" w:type="dxa"/>
            <w:gridSpan w:val="3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业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务领域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</w:tr>
      <w:tr w:rsidR="008D3F40" w:rsidRPr="003F0D96" w:rsidTr="00DA2D0F">
        <w:trPr>
          <w:jc w:val="center"/>
        </w:trPr>
        <w:tc>
          <w:tcPr>
            <w:tcW w:w="1978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公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司地址</w:t>
            </w:r>
          </w:p>
        </w:tc>
        <w:tc>
          <w:tcPr>
            <w:tcW w:w="4285" w:type="dxa"/>
            <w:gridSpan w:val="4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proofErr w:type="gramStart"/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邮</w:t>
            </w:r>
            <w:proofErr w:type="gramEnd"/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 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编</w:t>
            </w:r>
          </w:p>
        </w:tc>
        <w:tc>
          <w:tcPr>
            <w:tcW w:w="1185" w:type="dxa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</w:tr>
      <w:tr w:rsidR="008D3F40" w:rsidRPr="003F0D96" w:rsidTr="00DA2D0F">
        <w:trPr>
          <w:jc w:val="center"/>
        </w:trPr>
        <w:tc>
          <w:tcPr>
            <w:tcW w:w="1978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联 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系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人</w:t>
            </w:r>
          </w:p>
        </w:tc>
        <w:tc>
          <w:tcPr>
            <w:tcW w:w="2111" w:type="dxa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电  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话</w:t>
            </w:r>
          </w:p>
        </w:tc>
        <w:tc>
          <w:tcPr>
            <w:tcW w:w="1193" w:type="dxa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传  真</w:t>
            </w:r>
          </w:p>
        </w:tc>
        <w:tc>
          <w:tcPr>
            <w:tcW w:w="1185" w:type="dxa"/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</w:tr>
      <w:tr w:rsidR="008D3F40" w:rsidRPr="00E50675" w:rsidTr="00DA2D0F">
        <w:trPr>
          <w:trHeight w:val="425"/>
          <w:jc w:val="center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公司</w:t>
            </w:r>
          </w:p>
          <w:p w:rsidR="008D3F40" w:rsidRPr="00D76BDD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规模</w:t>
            </w: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注册资金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固定资产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从业人数</w:t>
            </w:r>
          </w:p>
        </w:tc>
      </w:tr>
      <w:tr w:rsidR="008D3F40" w:rsidRPr="00E50675" w:rsidTr="00DA2D0F">
        <w:trPr>
          <w:trHeight w:val="375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8D3F40" w:rsidRPr="00E50675" w:rsidTr="00DA2D0F">
        <w:trPr>
          <w:trHeight w:val="375"/>
          <w:jc w:val="center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right w:val="single" w:sz="4" w:space="0" w:color="auto"/>
            </w:tcBorders>
          </w:tcPr>
          <w:p w:rsidR="008D3F40" w:rsidRPr="008B2A14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8B2A14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组织</w:t>
            </w:r>
            <w:r w:rsidRPr="008B2A14">
              <w:rPr>
                <w:rFonts w:ascii="华文宋体" w:eastAsia="华文宋体" w:hAnsi="华文宋体"/>
                <w:b/>
                <w:sz w:val="18"/>
                <w:szCs w:val="18"/>
              </w:rPr>
              <w:t>架构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</w:tcBorders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8D3F40" w:rsidRPr="000E6306" w:rsidTr="00DA2D0F">
        <w:trPr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公司数据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>化程度及</w:t>
            </w:r>
          </w:p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存在问题</w:t>
            </w:r>
          </w:p>
        </w:tc>
        <w:tc>
          <w:tcPr>
            <w:tcW w:w="7447" w:type="dxa"/>
            <w:gridSpan w:val="8"/>
          </w:tcPr>
          <w:p w:rsidR="008D3F40" w:rsidRPr="00E50675" w:rsidRDefault="008D3F40" w:rsidP="00DA2D0F">
            <w:pPr>
              <w:pStyle w:val="a3"/>
              <w:spacing w:line="400" w:lineRule="exact"/>
              <w:ind w:firstLineChars="0" w:firstLine="0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</w:tr>
      <w:tr w:rsidR="008D3F40" w:rsidRPr="000E6306" w:rsidTr="00DA2D0F">
        <w:trPr>
          <w:trHeight w:val="1805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公</w:t>
            </w:r>
          </w:p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司</w:t>
            </w:r>
          </w:p>
          <w:p w:rsidR="008D3F40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需</w:t>
            </w:r>
          </w:p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7447" w:type="dxa"/>
            <w:gridSpan w:val="8"/>
          </w:tcPr>
          <w:p w:rsidR="008D3F40" w:rsidRPr="00E50675" w:rsidRDefault="008D3F40" w:rsidP="00DA2D0F">
            <w:pPr>
              <w:pStyle w:val="a3"/>
              <w:spacing w:line="400" w:lineRule="exact"/>
              <w:ind w:firstLineChars="0" w:firstLine="0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</w:tr>
      <w:tr w:rsidR="008D3F40" w:rsidRPr="003F0D96" w:rsidTr="00DA2D0F">
        <w:trPr>
          <w:jc w:val="center"/>
        </w:trPr>
        <w:tc>
          <w:tcPr>
            <w:tcW w:w="1088" w:type="dxa"/>
            <w:shd w:val="clear" w:color="auto" w:fill="auto"/>
          </w:tcPr>
          <w:p w:rsidR="008D3F40" w:rsidRDefault="008D3F40" w:rsidP="00DA2D0F">
            <w:pPr>
              <w:spacing w:beforeLines="50" w:before="156"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基础服务</w:t>
            </w:r>
          </w:p>
        </w:tc>
        <w:tc>
          <w:tcPr>
            <w:tcW w:w="7447" w:type="dxa"/>
            <w:gridSpan w:val="8"/>
          </w:tcPr>
          <w:p w:rsidR="008D3F40" w:rsidRDefault="008D3F40" w:rsidP="00DA2D0F">
            <w:pPr>
              <w:spacing w:beforeLines="50" w:before="156" w:line="360" w:lineRule="auto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数据评估、提供数据保全方案，</w:t>
            </w:r>
            <w:r w:rsidRPr="00C71169">
              <w:rPr>
                <w:rFonts w:ascii="华文宋体" w:eastAsia="华文宋体" w:hAnsi="华文宋体"/>
                <w:b/>
                <w:sz w:val="18"/>
                <w:szCs w:val="18"/>
              </w:rPr>
              <w:t>引入</w:t>
            </w:r>
            <w:proofErr w:type="spellStart"/>
            <w:r w:rsidRPr="00C71169">
              <w:rPr>
                <w:rFonts w:ascii="华文宋体" w:eastAsia="华文宋体" w:hAnsi="华文宋体"/>
                <w:b/>
                <w:sz w:val="18"/>
                <w:szCs w:val="18"/>
              </w:rPr>
              <w:t>Datahoop</w:t>
            </w:r>
            <w:proofErr w:type="spellEnd"/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平台以及经营分析建模分析和运营方案</w:t>
            </w:r>
          </w:p>
        </w:tc>
      </w:tr>
      <w:tr w:rsidR="008D3F40" w:rsidRPr="003F0D96" w:rsidTr="00DA2D0F">
        <w:trPr>
          <w:jc w:val="center"/>
        </w:trPr>
        <w:tc>
          <w:tcPr>
            <w:tcW w:w="1088" w:type="dxa"/>
            <w:shd w:val="clear" w:color="auto" w:fill="auto"/>
          </w:tcPr>
          <w:p w:rsidR="008D3F40" w:rsidRDefault="008D3F40" w:rsidP="00DA2D0F">
            <w:pPr>
              <w:spacing w:beforeLines="50" w:before="156"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扶 持</w:t>
            </w:r>
          </w:p>
          <w:p w:rsidR="008D3F40" w:rsidRPr="00E50675" w:rsidRDefault="008D3F40" w:rsidP="00DA2D0F">
            <w:pPr>
              <w:spacing w:beforeLines="50" w:before="156"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项 目</w:t>
            </w:r>
          </w:p>
        </w:tc>
        <w:tc>
          <w:tcPr>
            <w:tcW w:w="7447" w:type="dxa"/>
            <w:gridSpan w:val="8"/>
          </w:tcPr>
          <w:p w:rsidR="008D3F40" w:rsidRPr="001B64FD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客户行为分析     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 xml:space="preserve">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运营成本控制       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生产环节优化</w:t>
            </w:r>
          </w:p>
          <w:p w:rsidR="008D3F40" w:rsidRPr="001B64FD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用户流失分析     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 xml:space="preserve">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产品定价策略    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 xml:space="preserve">   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销售数据分析</w:t>
            </w:r>
          </w:p>
          <w:p w:rsidR="008D3F40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品牌舆情分析     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 xml:space="preserve">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精准营销       </w:t>
            </w:r>
            <w:r>
              <w:rPr>
                <w:rFonts w:ascii="华文宋体" w:eastAsia="华文宋体" w:hAnsi="华文宋体"/>
                <w:b/>
                <w:sz w:val="18"/>
                <w:szCs w:val="18"/>
              </w:rPr>
              <w:t xml:space="preserve">   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企业人才培养     </w:t>
            </w:r>
          </w:p>
          <w:p w:rsidR="008D3F40" w:rsidRPr="00116187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sym w:font="Wingdings" w:char="F06F"/>
            </w: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其他___________________________</w:t>
            </w:r>
          </w:p>
        </w:tc>
      </w:tr>
      <w:tr w:rsidR="008D3F40" w:rsidRPr="003F0D96" w:rsidTr="00DA2D0F">
        <w:trPr>
          <w:trHeight w:val="804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8D3F40" w:rsidRPr="00E50675" w:rsidRDefault="008D3F40" w:rsidP="00DA2D0F">
            <w:pPr>
              <w:spacing w:line="360" w:lineRule="auto"/>
              <w:jc w:val="center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备  注</w:t>
            </w:r>
          </w:p>
        </w:tc>
        <w:tc>
          <w:tcPr>
            <w:tcW w:w="7447" w:type="dxa"/>
            <w:gridSpan w:val="8"/>
            <w:vAlign w:val="bottom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bookmarkStart w:id="0" w:name="_GoBack"/>
            <w:bookmarkEnd w:id="0"/>
          </w:p>
          <w:p w:rsidR="00056DF0" w:rsidRDefault="008D3F40" w:rsidP="00056DF0">
            <w:pPr>
              <w:spacing w:line="360" w:lineRule="auto"/>
              <w:ind w:right="210" w:firstLineChars="300" w:firstLine="540"/>
              <w:jc w:val="left"/>
              <w:rPr>
                <w:rFonts w:ascii="华文宋体" w:eastAsia="华文宋体" w:hAnsi="华文宋体" w:hint="eastAsia"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sz w:val="18"/>
                <w:szCs w:val="18"/>
              </w:rPr>
              <w:t xml:space="preserve">                       </w:t>
            </w:r>
            <w:r>
              <w:rPr>
                <w:rFonts w:ascii="华文宋体" w:eastAsia="华文宋体" w:hAnsi="华文宋体"/>
                <w:sz w:val="18"/>
                <w:szCs w:val="18"/>
              </w:rPr>
              <w:t xml:space="preserve">         </w:t>
            </w:r>
          </w:p>
          <w:p w:rsidR="00056DF0" w:rsidRPr="00E50675" w:rsidRDefault="00056DF0" w:rsidP="00056DF0">
            <w:pPr>
              <w:spacing w:line="360" w:lineRule="auto"/>
              <w:ind w:right="210" w:firstLineChars="300" w:firstLine="540"/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8D3F40" w:rsidRPr="003F0D96" w:rsidTr="00DA2D0F">
        <w:trPr>
          <w:jc w:val="center"/>
        </w:trPr>
        <w:tc>
          <w:tcPr>
            <w:tcW w:w="8535" w:type="dxa"/>
            <w:gridSpan w:val="9"/>
          </w:tcPr>
          <w:p w:rsidR="008D3F40" w:rsidRPr="00E50675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E50675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联</w:t>
            </w:r>
            <w:r w:rsidRPr="00E50675">
              <w:rPr>
                <w:rFonts w:ascii="华文宋体" w:eastAsia="华文宋体" w:hAnsi="华文宋体"/>
                <w:b/>
                <w:sz w:val="18"/>
                <w:szCs w:val="18"/>
              </w:rPr>
              <w:t>系方式</w:t>
            </w:r>
          </w:p>
          <w:p w:rsidR="008D3F40" w:rsidRPr="00932678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地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址：北京市朝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阳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区朝外大街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朝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外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SOHO大厦C座931室</w:t>
            </w:r>
          </w:p>
          <w:p w:rsidR="00056DF0" w:rsidRPr="00932678" w:rsidRDefault="008D3F40" w:rsidP="00DA2D0F">
            <w:pPr>
              <w:spacing w:line="360" w:lineRule="auto"/>
              <w:jc w:val="left"/>
              <w:rPr>
                <w:rFonts w:ascii="华文宋体" w:eastAsia="华文宋体" w:hAnsi="华文宋体"/>
                <w:sz w:val="18"/>
                <w:szCs w:val="18"/>
              </w:rPr>
            </w:pP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联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系人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 xml:space="preserve">：周老师         </w:t>
            </w:r>
          </w:p>
          <w:p w:rsidR="00056DF0" w:rsidRPr="00E50675" w:rsidRDefault="008D3F40" w:rsidP="00056DF0">
            <w:pPr>
              <w:spacing w:line="360" w:lineRule="auto"/>
              <w:jc w:val="left"/>
              <w:rPr>
                <w:rFonts w:ascii="华文宋体" w:eastAsia="华文宋体" w:hAnsi="华文宋体" w:hint="eastAsia"/>
                <w:sz w:val="18"/>
                <w:szCs w:val="18"/>
              </w:rPr>
            </w:pP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电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话：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010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-59000339-652</w:t>
            </w:r>
            <w:r w:rsidR="00056DF0" w:rsidRPr="00932678">
              <w:rPr>
                <w:rFonts w:ascii="华文宋体" w:eastAsia="华文宋体" w:hAnsi="华文宋体"/>
                <w:sz w:val="18"/>
                <w:szCs w:val="18"/>
              </w:rPr>
              <w:t xml:space="preserve">         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传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真：</w:t>
            </w:r>
            <w:r w:rsidRPr="00932678">
              <w:rPr>
                <w:rFonts w:ascii="华文宋体" w:eastAsia="华文宋体" w:hAnsi="华文宋体" w:hint="eastAsia"/>
                <w:sz w:val="18"/>
                <w:szCs w:val="18"/>
              </w:rPr>
              <w:t>010-59000991</w:t>
            </w:r>
            <w:r w:rsidRPr="00932678">
              <w:rPr>
                <w:rFonts w:ascii="华文宋体" w:eastAsia="华文宋体" w:hAnsi="华文宋体"/>
                <w:sz w:val="18"/>
                <w:szCs w:val="18"/>
              </w:rPr>
              <w:t>-607</w:t>
            </w:r>
            <w:r w:rsidR="00056DF0" w:rsidRPr="00932678">
              <w:rPr>
                <w:rFonts w:ascii="华文宋体" w:eastAsia="华文宋体" w:hAnsi="华文宋体" w:hint="eastAsia"/>
                <w:sz w:val="18"/>
                <w:szCs w:val="18"/>
              </w:rPr>
              <w:t xml:space="preserve"> </w:t>
            </w:r>
            <w:r w:rsidR="00056DF0" w:rsidRPr="00932678">
              <w:rPr>
                <w:rFonts w:ascii="华文宋体" w:eastAsia="华文宋体" w:hAnsi="华文宋体"/>
                <w:sz w:val="18"/>
                <w:szCs w:val="18"/>
              </w:rPr>
              <w:t xml:space="preserve">      </w:t>
            </w:r>
            <w:r w:rsidR="00056DF0" w:rsidRPr="00932678">
              <w:rPr>
                <w:rFonts w:ascii="华文宋体" w:eastAsia="华文宋体" w:hAnsi="华文宋体" w:hint="eastAsia"/>
                <w:sz w:val="18"/>
                <w:szCs w:val="18"/>
              </w:rPr>
              <w:t>邮箱：zhouzh@chinacpda.org</w:t>
            </w:r>
          </w:p>
        </w:tc>
      </w:tr>
    </w:tbl>
    <w:p w:rsidR="00136FE1" w:rsidRPr="008D3F40" w:rsidRDefault="00932678">
      <w:pPr>
        <w:rPr>
          <w:rFonts w:hint="eastAsia"/>
        </w:rPr>
      </w:pPr>
    </w:p>
    <w:sectPr w:rsidR="00136FE1" w:rsidRPr="008D3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0"/>
    <w:rsid w:val="00056DF0"/>
    <w:rsid w:val="001309C1"/>
    <w:rsid w:val="0084722B"/>
    <w:rsid w:val="008D3F40"/>
    <w:rsid w:val="009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D88A"/>
  <w15:chartTrackingRefBased/>
  <w15:docId w15:val="{023E73F8-A545-45A9-97D8-B3D39BE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3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shiay-pc</dc:creator>
  <cp:keywords/>
  <dc:description/>
  <cp:lastModifiedBy>hudson</cp:lastModifiedBy>
  <cp:revision>4</cp:revision>
  <dcterms:created xsi:type="dcterms:W3CDTF">2016-02-23T01:22:00Z</dcterms:created>
  <dcterms:modified xsi:type="dcterms:W3CDTF">2016-02-24T01:46:00Z</dcterms:modified>
</cp:coreProperties>
</file>